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E99C9" w14:textId="648D0AFB" w:rsidR="00102C58" w:rsidRPr="0017388D" w:rsidRDefault="00625D70">
      <w:pPr>
        <w:rPr>
          <w:rFonts w:ascii="Times New Roman" w:hAnsi="Times New Roman" w:cs="Times New Roman"/>
          <w:iCs/>
          <w:sz w:val="24"/>
          <w:szCs w:val="24"/>
          <w:u w:val="single"/>
        </w:rPr>
      </w:pPr>
      <w:r w:rsidRPr="0017388D">
        <w:rPr>
          <w:rFonts w:ascii="Times New Roman" w:hAnsi="Times New Roman" w:cs="Times New Roman"/>
          <w:iCs/>
          <w:sz w:val="24"/>
          <w:szCs w:val="24"/>
          <w:u w:val="single"/>
        </w:rPr>
        <w:t>The people and the park</w:t>
      </w:r>
      <w:r w:rsidR="0017388D">
        <w:rPr>
          <w:rFonts w:ascii="Times New Roman" w:hAnsi="Times New Roman" w:cs="Times New Roman"/>
          <w:iCs/>
          <w:sz w:val="24"/>
          <w:szCs w:val="24"/>
          <w:u w:val="single"/>
        </w:rPr>
        <w:t>:</w:t>
      </w:r>
    </w:p>
    <w:p w14:paraId="05EEAADC" w14:textId="77777777" w:rsidR="00643928" w:rsidRPr="0017388D" w:rsidRDefault="00F16FA3" w:rsidP="006E6E24">
      <w:pPr>
        <w:rPr>
          <w:rFonts w:ascii="Times New Roman" w:hAnsi="Times New Roman" w:cs="Times New Roman"/>
          <w:sz w:val="24"/>
          <w:szCs w:val="24"/>
        </w:rPr>
      </w:pPr>
      <w:r w:rsidRPr="0017388D">
        <w:rPr>
          <w:rFonts w:ascii="Times New Roman" w:hAnsi="Times New Roman" w:cs="Times New Roman"/>
          <w:sz w:val="24"/>
          <w:szCs w:val="24"/>
        </w:rPr>
        <w:t>P</w:t>
      </w:r>
      <w:r w:rsidR="000840F7" w:rsidRPr="0017388D">
        <w:rPr>
          <w:rFonts w:ascii="Times New Roman" w:hAnsi="Times New Roman" w:cs="Times New Roman"/>
          <w:sz w:val="24"/>
          <w:szCs w:val="24"/>
        </w:rPr>
        <w:t xml:space="preserve">eople </w:t>
      </w:r>
      <w:r w:rsidR="002E7A28" w:rsidRPr="0017388D">
        <w:rPr>
          <w:rFonts w:ascii="Times New Roman" w:hAnsi="Times New Roman" w:cs="Times New Roman"/>
          <w:sz w:val="24"/>
          <w:szCs w:val="24"/>
        </w:rPr>
        <w:t xml:space="preserve">living near Kibale National Park </w:t>
      </w:r>
      <w:r w:rsidRPr="0017388D">
        <w:rPr>
          <w:rFonts w:ascii="Times New Roman" w:hAnsi="Times New Roman" w:cs="Times New Roman"/>
          <w:sz w:val="24"/>
          <w:szCs w:val="24"/>
        </w:rPr>
        <w:t xml:space="preserve">typically </w:t>
      </w:r>
      <w:r w:rsidR="000840F7" w:rsidRPr="0017388D">
        <w:rPr>
          <w:rFonts w:ascii="Times New Roman" w:hAnsi="Times New Roman" w:cs="Times New Roman"/>
          <w:sz w:val="24"/>
          <w:szCs w:val="24"/>
        </w:rPr>
        <w:t>affiliat</w:t>
      </w:r>
      <w:r w:rsidR="006E6E24" w:rsidRPr="0017388D">
        <w:rPr>
          <w:rFonts w:ascii="Times New Roman" w:hAnsi="Times New Roman" w:cs="Times New Roman"/>
          <w:sz w:val="24"/>
          <w:szCs w:val="24"/>
        </w:rPr>
        <w:t xml:space="preserve">e with one of two tribes: The </w:t>
      </w:r>
      <w:proofErr w:type="spellStart"/>
      <w:r w:rsidR="006E6E24" w:rsidRPr="0017388D">
        <w:rPr>
          <w:rFonts w:ascii="Times New Roman" w:hAnsi="Times New Roman" w:cs="Times New Roman"/>
          <w:sz w:val="24"/>
          <w:szCs w:val="24"/>
        </w:rPr>
        <w:t>Batoro</w:t>
      </w:r>
      <w:proofErr w:type="spellEnd"/>
      <w:r w:rsidR="006E6E24" w:rsidRPr="0017388D">
        <w:rPr>
          <w:rFonts w:ascii="Times New Roman" w:hAnsi="Times New Roman" w:cs="Times New Roman"/>
          <w:sz w:val="24"/>
          <w:szCs w:val="24"/>
        </w:rPr>
        <w:t xml:space="preserve"> around</w:t>
      </w:r>
      <w:r w:rsidR="000840F7" w:rsidRPr="0017388D">
        <w:rPr>
          <w:rFonts w:ascii="Times New Roman" w:hAnsi="Times New Roman" w:cs="Times New Roman"/>
          <w:sz w:val="24"/>
          <w:szCs w:val="24"/>
        </w:rPr>
        <w:t xml:space="preserve"> the north</w:t>
      </w:r>
      <w:r w:rsidR="006E6E24" w:rsidRPr="0017388D">
        <w:rPr>
          <w:rFonts w:ascii="Times New Roman" w:hAnsi="Times New Roman" w:cs="Times New Roman"/>
          <w:sz w:val="24"/>
          <w:szCs w:val="24"/>
        </w:rPr>
        <w:t>ern edge of the park and the</w:t>
      </w:r>
      <w:r w:rsidRPr="0017388D">
        <w:rPr>
          <w:rFonts w:ascii="Times New Roman" w:hAnsi="Times New Roman" w:cs="Times New Roman"/>
          <w:sz w:val="24"/>
          <w:szCs w:val="24"/>
        </w:rPr>
        <w:t xml:space="preserve"> </w:t>
      </w:r>
      <w:proofErr w:type="spellStart"/>
      <w:r w:rsidRPr="0017388D">
        <w:rPr>
          <w:rFonts w:ascii="Times New Roman" w:hAnsi="Times New Roman" w:cs="Times New Roman"/>
          <w:sz w:val="24"/>
          <w:szCs w:val="24"/>
        </w:rPr>
        <w:t>Bakiga</w:t>
      </w:r>
      <w:proofErr w:type="spellEnd"/>
      <w:r w:rsidRPr="0017388D">
        <w:rPr>
          <w:rFonts w:ascii="Times New Roman" w:hAnsi="Times New Roman" w:cs="Times New Roman"/>
          <w:sz w:val="24"/>
          <w:szCs w:val="24"/>
        </w:rPr>
        <w:t xml:space="preserve"> around the southern boundary</w:t>
      </w:r>
      <w:r w:rsidR="000840F7" w:rsidRPr="0017388D">
        <w:rPr>
          <w:rFonts w:ascii="Times New Roman" w:hAnsi="Times New Roman" w:cs="Times New Roman"/>
          <w:sz w:val="24"/>
          <w:szCs w:val="24"/>
        </w:rPr>
        <w:t>.</w:t>
      </w:r>
      <w:r w:rsidR="006E6E24" w:rsidRPr="0017388D">
        <w:rPr>
          <w:rFonts w:ascii="Times New Roman" w:hAnsi="Times New Roman" w:cs="Times New Roman"/>
          <w:sz w:val="24"/>
          <w:szCs w:val="24"/>
        </w:rPr>
        <w:t xml:space="preserve">  The </w:t>
      </w:r>
      <w:proofErr w:type="spellStart"/>
      <w:r w:rsidR="006E6E24" w:rsidRPr="0017388D">
        <w:rPr>
          <w:rFonts w:ascii="Times New Roman" w:hAnsi="Times New Roman" w:cs="Times New Roman"/>
          <w:sz w:val="24"/>
          <w:szCs w:val="24"/>
        </w:rPr>
        <w:t>Bato</w:t>
      </w:r>
      <w:r w:rsidR="000840F7" w:rsidRPr="0017388D">
        <w:rPr>
          <w:rFonts w:ascii="Times New Roman" w:hAnsi="Times New Roman" w:cs="Times New Roman"/>
          <w:sz w:val="24"/>
          <w:szCs w:val="24"/>
        </w:rPr>
        <w:t>ro</w:t>
      </w:r>
      <w:proofErr w:type="spellEnd"/>
      <w:r w:rsidR="000840F7" w:rsidRPr="0017388D">
        <w:rPr>
          <w:rFonts w:ascii="Times New Roman" w:hAnsi="Times New Roman" w:cs="Times New Roman"/>
          <w:sz w:val="24"/>
          <w:szCs w:val="24"/>
        </w:rPr>
        <w:t xml:space="preserve"> settled the area about 200 years ago, displacing the </w:t>
      </w:r>
      <w:proofErr w:type="spellStart"/>
      <w:r w:rsidR="000840F7" w:rsidRPr="0017388D">
        <w:rPr>
          <w:rFonts w:ascii="Times New Roman" w:hAnsi="Times New Roman" w:cs="Times New Roman"/>
          <w:sz w:val="24"/>
          <w:szCs w:val="24"/>
        </w:rPr>
        <w:t>Banyoro</w:t>
      </w:r>
      <w:proofErr w:type="spellEnd"/>
      <w:r w:rsidR="000840F7" w:rsidRPr="0017388D">
        <w:rPr>
          <w:rFonts w:ascii="Times New Roman" w:hAnsi="Times New Roman" w:cs="Times New Roman"/>
          <w:sz w:val="24"/>
          <w:szCs w:val="24"/>
        </w:rPr>
        <w:t xml:space="preserve"> tribe</w:t>
      </w:r>
      <w:r w:rsidR="006E6E24" w:rsidRPr="0017388D">
        <w:rPr>
          <w:rFonts w:ascii="Times New Roman" w:hAnsi="Times New Roman" w:cs="Times New Roman"/>
          <w:sz w:val="24"/>
          <w:szCs w:val="24"/>
        </w:rPr>
        <w:t xml:space="preserve">. </w:t>
      </w:r>
      <w:r w:rsidR="000840F7" w:rsidRPr="0017388D">
        <w:rPr>
          <w:rFonts w:ascii="Times New Roman" w:hAnsi="Times New Roman" w:cs="Times New Roman"/>
          <w:sz w:val="24"/>
          <w:szCs w:val="24"/>
        </w:rPr>
        <w:t xml:space="preserve">The </w:t>
      </w:r>
      <w:proofErr w:type="spellStart"/>
      <w:r w:rsidR="000840F7" w:rsidRPr="0017388D">
        <w:rPr>
          <w:rFonts w:ascii="Times New Roman" w:hAnsi="Times New Roman" w:cs="Times New Roman"/>
          <w:sz w:val="24"/>
          <w:szCs w:val="24"/>
        </w:rPr>
        <w:t>B</w:t>
      </w:r>
      <w:r w:rsidR="006E6E24" w:rsidRPr="0017388D">
        <w:rPr>
          <w:rFonts w:ascii="Times New Roman" w:hAnsi="Times New Roman" w:cs="Times New Roman"/>
          <w:sz w:val="24"/>
          <w:szCs w:val="24"/>
        </w:rPr>
        <w:t>akiga</w:t>
      </w:r>
      <w:proofErr w:type="spellEnd"/>
      <w:r w:rsidR="006E6E24" w:rsidRPr="0017388D">
        <w:rPr>
          <w:rFonts w:ascii="Times New Roman" w:hAnsi="Times New Roman" w:cs="Times New Roman"/>
          <w:sz w:val="24"/>
          <w:szCs w:val="24"/>
        </w:rPr>
        <w:t xml:space="preserve"> have been moving up from the</w:t>
      </w:r>
      <w:r w:rsidR="003B47B3" w:rsidRPr="0017388D">
        <w:rPr>
          <w:rFonts w:ascii="Times New Roman" w:hAnsi="Times New Roman" w:cs="Times New Roman"/>
          <w:sz w:val="24"/>
          <w:szCs w:val="24"/>
        </w:rPr>
        <w:t xml:space="preserve"> southern region of </w:t>
      </w:r>
      <w:proofErr w:type="spellStart"/>
      <w:r w:rsidR="003B47B3" w:rsidRPr="0017388D">
        <w:rPr>
          <w:rFonts w:ascii="Times New Roman" w:hAnsi="Times New Roman" w:cs="Times New Roman"/>
          <w:sz w:val="24"/>
          <w:szCs w:val="24"/>
        </w:rPr>
        <w:t>Kigezi</w:t>
      </w:r>
      <w:proofErr w:type="spellEnd"/>
      <w:r w:rsidR="000840F7" w:rsidRPr="0017388D">
        <w:rPr>
          <w:rFonts w:ascii="Times New Roman" w:hAnsi="Times New Roman" w:cs="Times New Roman"/>
          <w:sz w:val="24"/>
          <w:szCs w:val="24"/>
        </w:rPr>
        <w:t xml:space="preserve"> since the 1930s in search of </w:t>
      </w:r>
      <w:r w:rsidR="006E6E24" w:rsidRPr="0017388D">
        <w:rPr>
          <w:rFonts w:ascii="Times New Roman" w:hAnsi="Times New Roman" w:cs="Times New Roman"/>
          <w:sz w:val="24"/>
          <w:szCs w:val="24"/>
        </w:rPr>
        <w:t xml:space="preserve">employment and </w:t>
      </w:r>
      <w:r w:rsidR="000840F7" w:rsidRPr="0017388D">
        <w:rPr>
          <w:rFonts w:ascii="Times New Roman" w:hAnsi="Times New Roman" w:cs="Times New Roman"/>
          <w:sz w:val="24"/>
          <w:szCs w:val="24"/>
        </w:rPr>
        <w:t>land to cultivate.</w:t>
      </w:r>
      <w:r w:rsidR="002E7A28" w:rsidRPr="0017388D">
        <w:rPr>
          <w:rFonts w:ascii="Times New Roman" w:hAnsi="Times New Roman" w:cs="Times New Roman"/>
          <w:sz w:val="24"/>
          <w:szCs w:val="24"/>
        </w:rPr>
        <w:t xml:space="preserve">  However, with 11 additional</w:t>
      </w:r>
      <w:r w:rsidR="006E6E24" w:rsidRPr="0017388D">
        <w:rPr>
          <w:rFonts w:ascii="Times New Roman" w:hAnsi="Times New Roman" w:cs="Times New Roman"/>
          <w:sz w:val="24"/>
          <w:szCs w:val="24"/>
        </w:rPr>
        <w:t xml:space="preserve"> tribal affiliations recorded in various l</w:t>
      </w:r>
      <w:r w:rsidR="002E7A28" w:rsidRPr="0017388D">
        <w:rPr>
          <w:rFonts w:ascii="Times New Roman" w:hAnsi="Times New Roman" w:cs="Times New Roman"/>
          <w:sz w:val="24"/>
          <w:szCs w:val="24"/>
        </w:rPr>
        <w:t>ocal household surveys, the eth</w:t>
      </w:r>
      <w:r w:rsidR="006E6E24" w:rsidRPr="0017388D">
        <w:rPr>
          <w:rFonts w:ascii="Times New Roman" w:hAnsi="Times New Roman" w:cs="Times New Roman"/>
          <w:sz w:val="24"/>
          <w:szCs w:val="24"/>
        </w:rPr>
        <w:t>nic and linguistic diversity around the park is quite varied.</w:t>
      </w:r>
      <w:r w:rsidR="002E7A28" w:rsidRPr="0017388D">
        <w:rPr>
          <w:rFonts w:ascii="Times New Roman" w:hAnsi="Times New Roman" w:cs="Times New Roman"/>
          <w:sz w:val="24"/>
          <w:szCs w:val="24"/>
        </w:rPr>
        <w:t xml:space="preserve">  </w:t>
      </w:r>
      <w:r w:rsidR="00D45471" w:rsidRPr="0017388D">
        <w:rPr>
          <w:rFonts w:ascii="Times New Roman" w:hAnsi="Times New Roman" w:cs="Times New Roman"/>
          <w:sz w:val="24"/>
          <w:szCs w:val="24"/>
        </w:rPr>
        <w:t xml:space="preserve">Over 55% of household heads moved to the area bordering the park from other locations; some from as far away as Kenya, Rwanda and the Democratic Republic of Congo.  </w:t>
      </w:r>
      <w:r w:rsidR="002E7A28" w:rsidRPr="0017388D">
        <w:rPr>
          <w:rFonts w:ascii="Times New Roman" w:hAnsi="Times New Roman" w:cs="Times New Roman"/>
          <w:sz w:val="24"/>
          <w:szCs w:val="24"/>
        </w:rPr>
        <w:t>Households vary in size and composition but typically have a male household head with one to six wives and two to 20 depend</w:t>
      </w:r>
      <w:r w:rsidR="00D45471" w:rsidRPr="0017388D">
        <w:rPr>
          <w:rFonts w:ascii="Times New Roman" w:hAnsi="Times New Roman" w:cs="Times New Roman"/>
          <w:sz w:val="24"/>
          <w:szCs w:val="24"/>
        </w:rPr>
        <w:t>ents.</w:t>
      </w:r>
      <w:r w:rsidR="002E7A28" w:rsidRPr="0017388D">
        <w:rPr>
          <w:rFonts w:ascii="Times New Roman" w:hAnsi="Times New Roman" w:cs="Times New Roman"/>
          <w:sz w:val="24"/>
          <w:szCs w:val="24"/>
        </w:rPr>
        <w:t xml:space="preserve"> </w:t>
      </w:r>
      <w:r w:rsidR="00625D70" w:rsidRPr="0017388D">
        <w:rPr>
          <w:rFonts w:ascii="Times New Roman" w:hAnsi="Times New Roman" w:cs="Times New Roman"/>
          <w:sz w:val="24"/>
          <w:szCs w:val="24"/>
        </w:rPr>
        <w:t xml:space="preserve">Subsistence agriculture is the principle source of </w:t>
      </w:r>
      <w:r w:rsidR="003B47B3" w:rsidRPr="0017388D">
        <w:rPr>
          <w:rFonts w:ascii="Times New Roman" w:hAnsi="Times New Roman" w:cs="Times New Roman"/>
          <w:sz w:val="24"/>
          <w:szCs w:val="24"/>
        </w:rPr>
        <w:t>livelihoods in the area, with approximately 30</w:t>
      </w:r>
      <w:r w:rsidR="00625D70" w:rsidRPr="0017388D">
        <w:rPr>
          <w:rFonts w:ascii="Times New Roman" w:hAnsi="Times New Roman" w:cs="Times New Roman"/>
          <w:sz w:val="24"/>
          <w:szCs w:val="24"/>
        </w:rPr>
        <w:t>% of adults in paid employment</w:t>
      </w:r>
      <w:r w:rsidR="00E62DAF" w:rsidRPr="0017388D">
        <w:rPr>
          <w:rFonts w:ascii="Times New Roman" w:hAnsi="Times New Roman" w:cs="Times New Roman"/>
          <w:sz w:val="24"/>
          <w:szCs w:val="24"/>
        </w:rPr>
        <w:t xml:space="preserve">.  </w:t>
      </w:r>
      <w:r w:rsidR="003B47B3" w:rsidRPr="0017388D">
        <w:rPr>
          <w:rFonts w:ascii="Times New Roman" w:hAnsi="Times New Roman" w:cs="Times New Roman"/>
          <w:sz w:val="24"/>
          <w:szCs w:val="24"/>
        </w:rPr>
        <w:t>Over 52</w:t>
      </w:r>
      <w:r w:rsidR="002E7A28" w:rsidRPr="0017388D">
        <w:rPr>
          <w:rFonts w:ascii="Times New Roman" w:hAnsi="Times New Roman" w:cs="Times New Roman"/>
          <w:sz w:val="24"/>
          <w:szCs w:val="24"/>
        </w:rPr>
        <w:t>% of the population around t</w:t>
      </w:r>
      <w:r w:rsidR="003B47B3" w:rsidRPr="0017388D">
        <w:rPr>
          <w:rFonts w:ascii="Times New Roman" w:hAnsi="Times New Roman" w:cs="Times New Roman"/>
          <w:sz w:val="24"/>
          <w:szCs w:val="24"/>
        </w:rPr>
        <w:t>he park are under the age of 15</w:t>
      </w:r>
      <w:r w:rsidR="00D45471" w:rsidRPr="0017388D">
        <w:rPr>
          <w:rFonts w:ascii="Times New Roman" w:hAnsi="Times New Roman" w:cs="Times New Roman"/>
          <w:sz w:val="24"/>
          <w:szCs w:val="24"/>
        </w:rPr>
        <w:t>, projecting a rapid growth in the already high loca</w:t>
      </w:r>
      <w:r w:rsidR="003B47B3" w:rsidRPr="0017388D">
        <w:rPr>
          <w:rFonts w:ascii="Times New Roman" w:hAnsi="Times New Roman" w:cs="Times New Roman"/>
          <w:sz w:val="24"/>
          <w:szCs w:val="24"/>
        </w:rPr>
        <w:t>l human population density (varying from 70 to 600 per km</w:t>
      </w:r>
      <w:r w:rsidR="003B47B3" w:rsidRPr="0017388D">
        <w:rPr>
          <w:rFonts w:ascii="Times New Roman" w:hAnsi="Times New Roman" w:cs="Times New Roman"/>
          <w:sz w:val="24"/>
          <w:szCs w:val="24"/>
          <w:vertAlign w:val="superscript"/>
        </w:rPr>
        <w:t>2</w:t>
      </w:r>
      <w:r w:rsidR="00625D70" w:rsidRPr="0017388D">
        <w:rPr>
          <w:rFonts w:ascii="Times New Roman" w:hAnsi="Times New Roman" w:cs="Times New Roman"/>
          <w:sz w:val="24"/>
          <w:szCs w:val="24"/>
        </w:rPr>
        <w:t>), and a need for more land resources and sources of employment</w:t>
      </w:r>
      <w:r w:rsidR="00EE6F09" w:rsidRPr="0017388D">
        <w:rPr>
          <w:rFonts w:ascii="Times New Roman" w:hAnsi="Times New Roman" w:cs="Times New Roman"/>
          <w:sz w:val="24"/>
          <w:szCs w:val="24"/>
        </w:rPr>
        <w:t xml:space="preserve">.  Household cultivation already extends to the border of the park leading to inevitable human-wildlife conflict resulting in losses of crops and livestock, as well as human injury. </w:t>
      </w:r>
      <w:r w:rsidR="00625D70" w:rsidRPr="0017388D">
        <w:rPr>
          <w:rFonts w:ascii="Times New Roman" w:hAnsi="Times New Roman" w:cs="Times New Roman"/>
          <w:sz w:val="24"/>
          <w:szCs w:val="24"/>
        </w:rPr>
        <w:t xml:space="preserve">Crop raiding by park protected animals has been increasing with most losses due to frequent raids by baboons.  Elephant raiding is less frequent but far more damaging when it occurs.  However, local residents do also benefit from the existence of the park.  Many </w:t>
      </w:r>
      <w:proofErr w:type="gramStart"/>
      <w:r w:rsidR="00625D70" w:rsidRPr="0017388D">
        <w:rPr>
          <w:rFonts w:ascii="Times New Roman" w:hAnsi="Times New Roman" w:cs="Times New Roman"/>
          <w:sz w:val="24"/>
          <w:szCs w:val="24"/>
        </w:rPr>
        <w:t>state</w:t>
      </w:r>
      <w:proofErr w:type="gramEnd"/>
      <w:r w:rsidR="00625D70" w:rsidRPr="0017388D">
        <w:rPr>
          <w:rFonts w:ascii="Times New Roman" w:hAnsi="Times New Roman" w:cs="Times New Roman"/>
          <w:sz w:val="24"/>
          <w:szCs w:val="24"/>
        </w:rPr>
        <w:t xml:space="preserve"> that living next to the park provides a better climate and crop yield, others benefit from employment in tourist facilities, carbon sequestration operations, and with researchers at </w:t>
      </w:r>
      <w:r w:rsidR="004109B1" w:rsidRPr="0017388D">
        <w:rPr>
          <w:rFonts w:ascii="Times New Roman" w:hAnsi="Times New Roman" w:cs="Times New Roman"/>
          <w:sz w:val="24"/>
          <w:szCs w:val="24"/>
        </w:rPr>
        <w:t>MUBFS.  UWA policy requires that 20% of Kibale National Park gate revenues go to assist local communities, and non-governmental support activities</w:t>
      </w:r>
      <w:r w:rsidR="00625D70" w:rsidRPr="0017388D">
        <w:rPr>
          <w:rFonts w:ascii="Times New Roman" w:hAnsi="Times New Roman" w:cs="Times New Roman"/>
          <w:sz w:val="24"/>
          <w:szCs w:val="24"/>
        </w:rPr>
        <w:t xml:space="preserve">, many initiated or supported by </w:t>
      </w:r>
      <w:r w:rsidRPr="0017388D">
        <w:rPr>
          <w:rFonts w:ascii="Times New Roman" w:hAnsi="Times New Roman" w:cs="Times New Roman"/>
          <w:sz w:val="24"/>
          <w:szCs w:val="24"/>
        </w:rPr>
        <w:t xml:space="preserve">long term researchers, </w:t>
      </w:r>
      <w:r w:rsidR="00625D70" w:rsidRPr="0017388D">
        <w:rPr>
          <w:rFonts w:ascii="Times New Roman" w:hAnsi="Times New Roman" w:cs="Times New Roman"/>
          <w:sz w:val="24"/>
          <w:szCs w:val="24"/>
        </w:rPr>
        <w:t>MU</w:t>
      </w:r>
      <w:r w:rsidR="004109B1" w:rsidRPr="0017388D">
        <w:rPr>
          <w:rFonts w:ascii="Times New Roman" w:hAnsi="Times New Roman" w:cs="Times New Roman"/>
          <w:sz w:val="24"/>
          <w:szCs w:val="24"/>
        </w:rPr>
        <w:t xml:space="preserve">BFS, </w:t>
      </w:r>
      <w:r w:rsidRPr="0017388D">
        <w:rPr>
          <w:rFonts w:ascii="Times New Roman" w:hAnsi="Times New Roman" w:cs="Times New Roman"/>
          <w:sz w:val="24"/>
          <w:szCs w:val="24"/>
        </w:rPr>
        <w:t xml:space="preserve">and </w:t>
      </w:r>
      <w:r w:rsidR="004109B1" w:rsidRPr="0017388D">
        <w:rPr>
          <w:rFonts w:ascii="Times New Roman" w:hAnsi="Times New Roman" w:cs="Times New Roman"/>
          <w:sz w:val="24"/>
          <w:szCs w:val="24"/>
        </w:rPr>
        <w:t xml:space="preserve">UWA, </w:t>
      </w:r>
      <w:r w:rsidRPr="0017388D">
        <w:rPr>
          <w:rFonts w:ascii="Times New Roman" w:hAnsi="Times New Roman" w:cs="Times New Roman"/>
          <w:sz w:val="24"/>
          <w:szCs w:val="24"/>
        </w:rPr>
        <w:t>have</w:t>
      </w:r>
      <w:r w:rsidR="004109B1" w:rsidRPr="0017388D">
        <w:rPr>
          <w:rFonts w:ascii="Times New Roman" w:hAnsi="Times New Roman" w:cs="Times New Roman"/>
          <w:sz w:val="24"/>
          <w:szCs w:val="24"/>
        </w:rPr>
        <w:t xml:space="preserve"> improved primary schools, access to medical services, agro-forestry, and adult literacy.</w:t>
      </w:r>
    </w:p>
    <w:p w14:paraId="301D70B2" w14:textId="77777777" w:rsidR="00102C58" w:rsidRPr="0017388D" w:rsidRDefault="00102C58">
      <w:pPr>
        <w:rPr>
          <w:rFonts w:ascii="Times New Roman" w:hAnsi="Times New Roman" w:cs="Times New Roman"/>
          <w:sz w:val="24"/>
          <w:szCs w:val="24"/>
        </w:rPr>
      </w:pPr>
    </w:p>
    <w:p w14:paraId="08FB3D40" w14:textId="5018DAC1" w:rsidR="0017388D" w:rsidRPr="0017388D" w:rsidRDefault="0083668A">
      <w:pPr>
        <w:rPr>
          <w:rFonts w:ascii="Times New Roman" w:hAnsi="Times New Roman" w:cs="Times New Roman"/>
          <w:iCs/>
          <w:sz w:val="24"/>
          <w:szCs w:val="24"/>
          <w:u w:val="single"/>
        </w:rPr>
      </w:pPr>
      <w:r w:rsidRPr="0017388D">
        <w:rPr>
          <w:rFonts w:ascii="Times New Roman" w:hAnsi="Times New Roman" w:cs="Times New Roman"/>
          <w:iCs/>
          <w:sz w:val="24"/>
          <w:szCs w:val="24"/>
          <w:u w:val="single"/>
        </w:rPr>
        <w:t>The h</w:t>
      </w:r>
      <w:r w:rsidR="00102C58" w:rsidRPr="0017388D">
        <w:rPr>
          <w:rFonts w:ascii="Times New Roman" w:hAnsi="Times New Roman" w:cs="Times New Roman"/>
          <w:iCs/>
          <w:sz w:val="24"/>
          <w:szCs w:val="24"/>
          <w:u w:val="single"/>
        </w:rPr>
        <w:t xml:space="preserve">istory </w:t>
      </w:r>
      <w:r w:rsidRPr="0017388D">
        <w:rPr>
          <w:rFonts w:ascii="Times New Roman" w:hAnsi="Times New Roman" w:cs="Times New Roman"/>
          <w:iCs/>
          <w:sz w:val="24"/>
          <w:szCs w:val="24"/>
          <w:u w:val="single"/>
        </w:rPr>
        <w:t>and continuing opportunities for</w:t>
      </w:r>
      <w:r w:rsidR="00102C58" w:rsidRPr="0017388D">
        <w:rPr>
          <w:rFonts w:ascii="Times New Roman" w:hAnsi="Times New Roman" w:cs="Times New Roman"/>
          <w:iCs/>
          <w:sz w:val="24"/>
          <w:szCs w:val="24"/>
          <w:u w:val="single"/>
        </w:rPr>
        <w:t xml:space="preserve"> social research around </w:t>
      </w:r>
      <w:proofErr w:type="spellStart"/>
      <w:r w:rsidR="00102C58" w:rsidRPr="0017388D">
        <w:rPr>
          <w:rFonts w:ascii="Times New Roman" w:hAnsi="Times New Roman" w:cs="Times New Roman"/>
          <w:iCs/>
          <w:sz w:val="24"/>
          <w:szCs w:val="24"/>
          <w:u w:val="single"/>
        </w:rPr>
        <w:t>Kibale</w:t>
      </w:r>
      <w:proofErr w:type="spellEnd"/>
      <w:r w:rsidR="00102C58" w:rsidRPr="0017388D">
        <w:rPr>
          <w:rFonts w:ascii="Times New Roman" w:hAnsi="Times New Roman" w:cs="Times New Roman"/>
          <w:iCs/>
          <w:sz w:val="24"/>
          <w:szCs w:val="24"/>
          <w:u w:val="single"/>
        </w:rPr>
        <w:t xml:space="preserve"> National Park</w:t>
      </w:r>
      <w:r w:rsidR="0017388D">
        <w:rPr>
          <w:rFonts w:ascii="Times New Roman" w:hAnsi="Times New Roman" w:cs="Times New Roman"/>
          <w:iCs/>
          <w:sz w:val="24"/>
          <w:szCs w:val="24"/>
          <w:u w:val="single"/>
        </w:rPr>
        <w:t>:</w:t>
      </w:r>
    </w:p>
    <w:p w14:paraId="67E7F326" w14:textId="77777777" w:rsidR="004109B1" w:rsidRPr="0017388D" w:rsidRDefault="004109B1">
      <w:pPr>
        <w:rPr>
          <w:rFonts w:ascii="Times New Roman" w:hAnsi="Times New Roman" w:cs="Times New Roman"/>
          <w:sz w:val="24"/>
          <w:szCs w:val="24"/>
        </w:rPr>
      </w:pPr>
      <w:r w:rsidRPr="0017388D">
        <w:rPr>
          <w:rFonts w:ascii="Times New Roman" w:hAnsi="Times New Roman" w:cs="Times New Roman"/>
          <w:sz w:val="24"/>
          <w:szCs w:val="24"/>
        </w:rPr>
        <w:t>Initially, social research focused on areas near MUBF</w:t>
      </w:r>
      <w:r w:rsidR="0083668A" w:rsidRPr="0017388D">
        <w:rPr>
          <w:rFonts w:ascii="Times New Roman" w:hAnsi="Times New Roman" w:cs="Times New Roman"/>
          <w:sz w:val="24"/>
          <w:szCs w:val="24"/>
        </w:rPr>
        <w:t>S,</w:t>
      </w:r>
      <w:r w:rsidRPr="0017388D">
        <w:rPr>
          <w:rFonts w:ascii="Times New Roman" w:hAnsi="Times New Roman" w:cs="Times New Roman"/>
          <w:sz w:val="24"/>
          <w:szCs w:val="24"/>
        </w:rPr>
        <w:t xml:space="preserve"> and the tourist area of Bigodi.  Studies assessed crop raiding, community conservation, revenue sharing, zoonotic disease transmission, land use change, and natural resource usage, both legal and illegal.</w:t>
      </w:r>
      <w:r w:rsidR="0083668A" w:rsidRPr="0017388D">
        <w:rPr>
          <w:rFonts w:ascii="Times New Roman" w:hAnsi="Times New Roman" w:cs="Times New Roman"/>
          <w:sz w:val="24"/>
          <w:szCs w:val="24"/>
        </w:rPr>
        <w:t xml:space="preserve">  Over the last 20 years, studies have included more of the communities around the park, increasing the spatial extent of our understanding of the social and cultural landscape, and highlighting the spatial inequity of many of the park-based benefits such as employment and charitable sup</w:t>
      </w:r>
      <w:r w:rsidR="00F16FA3" w:rsidRPr="0017388D">
        <w:rPr>
          <w:rFonts w:ascii="Times New Roman" w:hAnsi="Times New Roman" w:cs="Times New Roman"/>
          <w:sz w:val="24"/>
          <w:szCs w:val="24"/>
        </w:rPr>
        <w:t xml:space="preserve">port.  Coordination between </w:t>
      </w:r>
      <w:r w:rsidR="0083668A" w:rsidRPr="0017388D">
        <w:rPr>
          <w:rFonts w:ascii="Times New Roman" w:hAnsi="Times New Roman" w:cs="Times New Roman"/>
          <w:sz w:val="24"/>
          <w:szCs w:val="24"/>
        </w:rPr>
        <w:t xml:space="preserve">social researchers working at MUBFS has resulted in some consistency of data gathering over the years, allowing longitudinal analysis to be conducted.  However, many </w:t>
      </w:r>
      <w:r w:rsidR="00531BC4" w:rsidRPr="0017388D">
        <w:rPr>
          <w:rFonts w:ascii="Times New Roman" w:hAnsi="Times New Roman" w:cs="Times New Roman"/>
          <w:sz w:val="24"/>
          <w:szCs w:val="24"/>
        </w:rPr>
        <w:t xml:space="preserve">new opportunities </w:t>
      </w:r>
      <w:r w:rsidR="0083668A" w:rsidRPr="0017388D">
        <w:rPr>
          <w:rFonts w:ascii="Times New Roman" w:hAnsi="Times New Roman" w:cs="Times New Roman"/>
          <w:sz w:val="24"/>
          <w:szCs w:val="24"/>
        </w:rPr>
        <w:t>for social research</w:t>
      </w:r>
      <w:r w:rsidR="00531BC4" w:rsidRPr="0017388D">
        <w:rPr>
          <w:rFonts w:ascii="Times New Roman" w:hAnsi="Times New Roman" w:cs="Times New Roman"/>
          <w:sz w:val="24"/>
          <w:szCs w:val="24"/>
        </w:rPr>
        <w:t xml:space="preserve"> exist</w:t>
      </w:r>
      <w:r w:rsidR="0083668A" w:rsidRPr="0017388D">
        <w:rPr>
          <w:rFonts w:ascii="Times New Roman" w:hAnsi="Times New Roman" w:cs="Times New Roman"/>
          <w:sz w:val="24"/>
          <w:szCs w:val="24"/>
        </w:rPr>
        <w:t xml:space="preserve"> </w:t>
      </w:r>
      <w:r w:rsidR="00531BC4" w:rsidRPr="0017388D">
        <w:rPr>
          <w:rFonts w:ascii="Times New Roman" w:hAnsi="Times New Roman" w:cs="Times New Roman"/>
          <w:sz w:val="24"/>
          <w:szCs w:val="24"/>
        </w:rPr>
        <w:t>near Kibale National Park.  These include, but are not limited to: quantifying ecosystem service benefits of the park, economic benefit/loss analysis to trade-off these ecosystem service benefits against crop and livestock losses, assessing changes to UWA policies, especially the revenue sharing program, understanding local sentiment towards the park, UWA, and government policies, determining why primary school completion rates are low, understanding the market forces behind tree and animal poaching from the park, and assessing alternate livelihood strategies and crop raiding defenses.</w:t>
      </w:r>
    </w:p>
    <w:p w14:paraId="4867D797" w14:textId="77777777" w:rsidR="00A01816" w:rsidRPr="0017388D" w:rsidRDefault="00A01816">
      <w:pPr>
        <w:rPr>
          <w:rFonts w:ascii="Times New Roman" w:hAnsi="Times New Roman" w:cs="Times New Roman"/>
          <w:sz w:val="24"/>
          <w:szCs w:val="24"/>
        </w:rPr>
      </w:pPr>
    </w:p>
    <w:p w14:paraId="52C68D14" w14:textId="77777777" w:rsidR="00A01816" w:rsidRPr="0017388D" w:rsidRDefault="00A01816">
      <w:pPr>
        <w:rPr>
          <w:rFonts w:ascii="Times New Roman" w:hAnsi="Times New Roman" w:cs="Times New Roman"/>
          <w:sz w:val="24"/>
          <w:szCs w:val="24"/>
        </w:rPr>
      </w:pPr>
      <w:r w:rsidRPr="0017388D">
        <w:rPr>
          <w:rFonts w:ascii="Times New Roman" w:hAnsi="Times New Roman" w:cs="Times New Roman"/>
          <w:sz w:val="24"/>
          <w:szCs w:val="24"/>
        </w:rPr>
        <w:lastRenderedPageBreak/>
        <w:t>Many papers have documented the social research done around Kibale National Park.  A few examples that provide additional insight into the local human landscape include:</w:t>
      </w:r>
    </w:p>
    <w:p w14:paraId="261F0E36" w14:textId="77777777" w:rsidR="00A01816" w:rsidRPr="0017388D" w:rsidRDefault="00A01816" w:rsidP="00A01816">
      <w:pPr>
        <w:rPr>
          <w:rFonts w:ascii="Times New Roman" w:hAnsi="Times New Roman" w:cs="Times New Roman"/>
          <w:sz w:val="24"/>
          <w:szCs w:val="24"/>
        </w:rPr>
      </w:pPr>
      <w:r w:rsidRPr="0017388D">
        <w:rPr>
          <w:rFonts w:ascii="Times New Roman" w:hAnsi="Times New Roman" w:cs="Times New Roman"/>
          <w:sz w:val="24"/>
          <w:szCs w:val="24"/>
        </w:rPr>
        <w:t>Hartter, J., Ryan, S.J., MacKenzie, C.A., Goldman, A., Dowhaniuk, N., Palace, M.W., Diem, J.E. &amp; Chapman, C.A. (</w:t>
      </w:r>
      <w:r w:rsidRPr="0017388D">
        <w:rPr>
          <w:rFonts w:ascii="Times New Roman" w:hAnsi="Times New Roman" w:cs="Times New Roman"/>
          <w:iCs/>
          <w:sz w:val="24"/>
          <w:szCs w:val="24"/>
        </w:rPr>
        <w:t>2015)</w:t>
      </w:r>
      <w:r w:rsidRPr="0017388D">
        <w:rPr>
          <w:rFonts w:ascii="Times New Roman" w:hAnsi="Times New Roman" w:cs="Times New Roman"/>
          <w:sz w:val="24"/>
          <w:szCs w:val="24"/>
        </w:rPr>
        <w:t xml:space="preserve">. Now There is No Land: A Story of Ethnic Migration in a Protected Area Landscape in Western Uganda. </w:t>
      </w:r>
      <w:r w:rsidRPr="0017388D">
        <w:rPr>
          <w:rFonts w:ascii="Times New Roman" w:hAnsi="Times New Roman" w:cs="Times New Roman"/>
          <w:i/>
          <w:sz w:val="24"/>
          <w:szCs w:val="24"/>
        </w:rPr>
        <w:t>Population and Environment</w:t>
      </w:r>
      <w:r w:rsidRPr="0017388D">
        <w:rPr>
          <w:rFonts w:ascii="Times New Roman" w:hAnsi="Times New Roman" w:cs="Times New Roman"/>
          <w:sz w:val="24"/>
          <w:szCs w:val="24"/>
        </w:rPr>
        <w:t xml:space="preserve"> 36: 452-479 DOI: 10.1007/s11111-014-0227-y</w:t>
      </w:r>
    </w:p>
    <w:p w14:paraId="1070EE35" w14:textId="77777777" w:rsidR="00A01816" w:rsidRPr="0017388D" w:rsidRDefault="00A01816" w:rsidP="00A01816">
      <w:pPr>
        <w:rPr>
          <w:rFonts w:ascii="Times New Roman" w:hAnsi="Times New Roman" w:cs="Times New Roman"/>
          <w:b/>
          <w:sz w:val="24"/>
          <w:szCs w:val="24"/>
        </w:rPr>
      </w:pPr>
      <w:r w:rsidRPr="0017388D">
        <w:rPr>
          <w:rFonts w:ascii="Times New Roman" w:hAnsi="Times New Roman" w:cs="Times New Roman"/>
          <w:sz w:val="24"/>
          <w:szCs w:val="24"/>
        </w:rPr>
        <w:t xml:space="preserve">MacKenzie, C.A., Salerno, J., Hartter, J., Chapman. C.A., Reyna, R., Tumusiime, D. M. &amp; Drake, M. (2017) Changing perceptions of protected area benefits and problems around Kibale National Park, Uganda.  </w:t>
      </w:r>
      <w:r w:rsidRPr="0017388D">
        <w:rPr>
          <w:rFonts w:ascii="Times New Roman" w:hAnsi="Times New Roman" w:cs="Times New Roman"/>
          <w:i/>
          <w:sz w:val="24"/>
          <w:szCs w:val="24"/>
        </w:rPr>
        <w:t>The Journal of Environmental Management</w:t>
      </w:r>
      <w:r w:rsidRPr="0017388D">
        <w:rPr>
          <w:rFonts w:ascii="Times New Roman" w:hAnsi="Times New Roman" w:cs="Times New Roman"/>
          <w:sz w:val="24"/>
          <w:szCs w:val="24"/>
        </w:rPr>
        <w:t xml:space="preserve"> 200, 217-228. </w:t>
      </w:r>
      <w:proofErr w:type="gramStart"/>
      <w:r w:rsidRPr="0017388D">
        <w:rPr>
          <w:rFonts w:ascii="Times New Roman" w:hAnsi="Times New Roman" w:cs="Times New Roman"/>
          <w:sz w:val="24"/>
          <w:szCs w:val="24"/>
        </w:rPr>
        <w:t>DOI:</w:t>
      </w:r>
      <w:r w:rsidRPr="0017388D">
        <w:rPr>
          <w:rFonts w:ascii="Times New Roman" w:hAnsi="Times New Roman" w:cs="Times New Roman"/>
          <w:bCs/>
          <w:sz w:val="24"/>
          <w:szCs w:val="24"/>
        </w:rPr>
        <w:t>10.1016/j.jenvman</w:t>
      </w:r>
      <w:proofErr w:type="gramEnd"/>
      <w:r w:rsidRPr="0017388D">
        <w:rPr>
          <w:rFonts w:ascii="Times New Roman" w:hAnsi="Times New Roman" w:cs="Times New Roman"/>
          <w:bCs/>
          <w:sz w:val="24"/>
          <w:szCs w:val="24"/>
        </w:rPr>
        <w:t>.2017.05.078.</w:t>
      </w:r>
    </w:p>
    <w:p w14:paraId="576F30C2" w14:textId="77777777" w:rsidR="003B47B3" w:rsidRPr="0017388D" w:rsidRDefault="003B47B3" w:rsidP="003B47B3">
      <w:pPr>
        <w:rPr>
          <w:rFonts w:ascii="Times New Roman" w:hAnsi="Times New Roman" w:cs="Times New Roman"/>
          <w:sz w:val="24"/>
          <w:szCs w:val="24"/>
        </w:rPr>
      </w:pPr>
      <w:r w:rsidRPr="0017388D">
        <w:rPr>
          <w:rFonts w:ascii="Times New Roman" w:hAnsi="Times New Roman" w:cs="Times New Roman"/>
          <w:sz w:val="24"/>
          <w:szCs w:val="24"/>
        </w:rPr>
        <w:t xml:space="preserve">Mackenzie, C.A., Moffatt, S.P., </w:t>
      </w:r>
      <w:proofErr w:type="spellStart"/>
      <w:r w:rsidRPr="0017388D">
        <w:rPr>
          <w:rFonts w:ascii="Times New Roman" w:hAnsi="Times New Roman" w:cs="Times New Roman"/>
          <w:sz w:val="24"/>
          <w:szCs w:val="24"/>
        </w:rPr>
        <w:t>Ogwang</w:t>
      </w:r>
      <w:proofErr w:type="spellEnd"/>
      <w:r w:rsidRPr="0017388D">
        <w:rPr>
          <w:rFonts w:ascii="Times New Roman" w:hAnsi="Times New Roman" w:cs="Times New Roman"/>
          <w:sz w:val="24"/>
          <w:szCs w:val="24"/>
        </w:rPr>
        <w:t xml:space="preserve">, J., </w:t>
      </w:r>
      <w:proofErr w:type="spellStart"/>
      <w:r w:rsidRPr="0017388D">
        <w:rPr>
          <w:rFonts w:ascii="Times New Roman" w:hAnsi="Times New Roman" w:cs="Times New Roman"/>
          <w:sz w:val="24"/>
          <w:szCs w:val="24"/>
        </w:rPr>
        <w:t>Ahabyona</w:t>
      </w:r>
      <w:proofErr w:type="spellEnd"/>
      <w:r w:rsidRPr="0017388D">
        <w:rPr>
          <w:rFonts w:ascii="Times New Roman" w:hAnsi="Times New Roman" w:cs="Times New Roman"/>
          <w:sz w:val="24"/>
          <w:szCs w:val="24"/>
        </w:rPr>
        <w:t xml:space="preserve">, P. &amp; Sengupta, R.R. (2017) Spatial and Temporal Patterns in Enrolment and Exam Achievement in Rural Uganda. </w:t>
      </w:r>
      <w:r w:rsidRPr="0017388D">
        <w:rPr>
          <w:rFonts w:ascii="Times New Roman" w:hAnsi="Times New Roman" w:cs="Times New Roman"/>
          <w:i/>
          <w:sz w:val="24"/>
          <w:szCs w:val="24"/>
        </w:rPr>
        <w:t xml:space="preserve">Children’s Geographies </w:t>
      </w:r>
      <w:r w:rsidRPr="0017388D">
        <w:rPr>
          <w:rFonts w:ascii="Times New Roman" w:hAnsi="Times New Roman" w:cs="Times New Roman"/>
          <w:sz w:val="24"/>
          <w:szCs w:val="24"/>
        </w:rPr>
        <w:t>15(3), 334-348. DOI:10.1080/14733285.2016.1244603</w:t>
      </w:r>
    </w:p>
    <w:p w14:paraId="402F348E" w14:textId="77777777" w:rsidR="00F16FA3" w:rsidRPr="004109B1" w:rsidRDefault="00F16FA3"/>
    <w:sectPr w:rsidR="00F16FA3" w:rsidRPr="004109B1" w:rsidSect="00102C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A123E"/>
    <w:multiLevelType w:val="hybridMultilevel"/>
    <w:tmpl w:val="F0F6B4C0"/>
    <w:lvl w:ilvl="0" w:tplc="CCCC2F68">
      <w:start w:val="1"/>
      <w:numFmt w:val="bullet"/>
      <w:lvlText w:val="•"/>
      <w:lvlJc w:val="left"/>
      <w:pPr>
        <w:tabs>
          <w:tab w:val="num" w:pos="720"/>
        </w:tabs>
        <w:ind w:left="720" w:hanging="360"/>
      </w:pPr>
      <w:rPr>
        <w:rFonts w:ascii="Arial" w:hAnsi="Arial" w:hint="default"/>
      </w:rPr>
    </w:lvl>
    <w:lvl w:ilvl="1" w:tplc="38602C06" w:tentative="1">
      <w:start w:val="1"/>
      <w:numFmt w:val="bullet"/>
      <w:lvlText w:val="•"/>
      <w:lvlJc w:val="left"/>
      <w:pPr>
        <w:tabs>
          <w:tab w:val="num" w:pos="1440"/>
        </w:tabs>
        <w:ind w:left="1440" w:hanging="360"/>
      </w:pPr>
      <w:rPr>
        <w:rFonts w:ascii="Arial" w:hAnsi="Arial" w:hint="default"/>
      </w:rPr>
    </w:lvl>
    <w:lvl w:ilvl="2" w:tplc="65A001DC" w:tentative="1">
      <w:start w:val="1"/>
      <w:numFmt w:val="bullet"/>
      <w:lvlText w:val="•"/>
      <w:lvlJc w:val="left"/>
      <w:pPr>
        <w:tabs>
          <w:tab w:val="num" w:pos="2160"/>
        </w:tabs>
        <w:ind w:left="2160" w:hanging="360"/>
      </w:pPr>
      <w:rPr>
        <w:rFonts w:ascii="Arial" w:hAnsi="Arial" w:hint="default"/>
      </w:rPr>
    </w:lvl>
    <w:lvl w:ilvl="3" w:tplc="A02070CA" w:tentative="1">
      <w:start w:val="1"/>
      <w:numFmt w:val="bullet"/>
      <w:lvlText w:val="•"/>
      <w:lvlJc w:val="left"/>
      <w:pPr>
        <w:tabs>
          <w:tab w:val="num" w:pos="2880"/>
        </w:tabs>
        <w:ind w:left="2880" w:hanging="360"/>
      </w:pPr>
      <w:rPr>
        <w:rFonts w:ascii="Arial" w:hAnsi="Arial" w:hint="default"/>
      </w:rPr>
    </w:lvl>
    <w:lvl w:ilvl="4" w:tplc="987C63A8" w:tentative="1">
      <w:start w:val="1"/>
      <w:numFmt w:val="bullet"/>
      <w:lvlText w:val="•"/>
      <w:lvlJc w:val="left"/>
      <w:pPr>
        <w:tabs>
          <w:tab w:val="num" w:pos="3600"/>
        </w:tabs>
        <w:ind w:left="3600" w:hanging="360"/>
      </w:pPr>
      <w:rPr>
        <w:rFonts w:ascii="Arial" w:hAnsi="Arial" w:hint="default"/>
      </w:rPr>
    </w:lvl>
    <w:lvl w:ilvl="5" w:tplc="7EF864A4" w:tentative="1">
      <w:start w:val="1"/>
      <w:numFmt w:val="bullet"/>
      <w:lvlText w:val="•"/>
      <w:lvlJc w:val="left"/>
      <w:pPr>
        <w:tabs>
          <w:tab w:val="num" w:pos="4320"/>
        </w:tabs>
        <w:ind w:left="4320" w:hanging="360"/>
      </w:pPr>
      <w:rPr>
        <w:rFonts w:ascii="Arial" w:hAnsi="Arial" w:hint="default"/>
      </w:rPr>
    </w:lvl>
    <w:lvl w:ilvl="6" w:tplc="6B8EA7E6" w:tentative="1">
      <w:start w:val="1"/>
      <w:numFmt w:val="bullet"/>
      <w:lvlText w:val="•"/>
      <w:lvlJc w:val="left"/>
      <w:pPr>
        <w:tabs>
          <w:tab w:val="num" w:pos="5040"/>
        </w:tabs>
        <w:ind w:left="5040" w:hanging="360"/>
      </w:pPr>
      <w:rPr>
        <w:rFonts w:ascii="Arial" w:hAnsi="Arial" w:hint="default"/>
      </w:rPr>
    </w:lvl>
    <w:lvl w:ilvl="7" w:tplc="97EA5E2A" w:tentative="1">
      <w:start w:val="1"/>
      <w:numFmt w:val="bullet"/>
      <w:lvlText w:val="•"/>
      <w:lvlJc w:val="left"/>
      <w:pPr>
        <w:tabs>
          <w:tab w:val="num" w:pos="5760"/>
        </w:tabs>
        <w:ind w:left="5760" w:hanging="360"/>
      </w:pPr>
      <w:rPr>
        <w:rFonts w:ascii="Arial" w:hAnsi="Arial" w:hint="default"/>
      </w:rPr>
    </w:lvl>
    <w:lvl w:ilvl="8" w:tplc="0778CDF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58"/>
    <w:rsid w:val="000840F7"/>
    <w:rsid w:val="000B4964"/>
    <w:rsid w:val="00102C58"/>
    <w:rsid w:val="0017388D"/>
    <w:rsid w:val="00243B02"/>
    <w:rsid w:val="002E7A28"/>
    <w:rsid w:val="003B47B3"/>
    <w:rsid w:val="004109B1"/>
    <w:rsid w:val="00531BC4"/>
    <w:rsid w:val="00625446"/>
    <w:rsid w:val="00625D70"/>
    <w:rsid w:val="00643928"/>
    <w:rsid w:val="006E6E24"/>
    <w:rsid w:val="00786C4A"/>
    <w:rsid w:val="0083668A"/>
    <w:rsid w:val="00A01816"/>
    <w:rsid w:val="00D45471"/>
    <w:rsid w:val="00E62DAF"/>
    <w:rsid w:val="00EE6F09"/>
    <w:rsid w:val="00F1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B4DB"/>
  <w15:chartTrackingRefBased/>
  <w15:docId w15:val="{4032B825-43E3-450D-BD6B-07DCB877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Twining-ward, Cate</cp:lastModifiedBy>
  <cp:revision>3</cp:revision>
  <dcterms:created xsi:type="dcterms:W3CDTF">2020-05-29T14:49:00Z</dcterms:created>
  <dcterms:modified xsi:type="dcterms:W3CDTF">2020-06-15T18:42:00Z</dcterms:modified>
</cp:coreProperties>
</file>